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6" w:name="folha-de-rosto-dossiê-processual"/>
    <w:p>
      <w:pPr>
        <w:pStyle w:val="Heading2"/>
      </w:pPr>
      <w:r>
        <w:t xml:space="preserve">Folha de Rosto – Dossiê Processual</w:t>
      </w:r>
    </w:p>
    <w:p>
      <w:pPr>
        <w:pStyle w:val="FirstParagraph"/>
      </w:pPr>
      <w:r>
        <w:rPr>
          <w:b/>
          <w:bCs/>
        </w:rPr>
        <w:t xml:space="preserve">Processo:</w:t>
      </w:r>
      <w:r>
        <w:t xml:space="preserve"> </w:t>
      </w:r>
      <w:r>
        <w:t xml:space="preserve">Processo Penal n.º</w:t>
      </w:r>
      <w:r>
        <w:t xml:space="preserve"> </w:t>
      </w:r>
      <w:r>
        <w:rPr>
          <w:b/>
          <w:bCs/>
        </w:rPr>
        <w:t xml:space="preserve">2023/0456</w:t>
      </w:r>
      <w:r>
        <w:t xml:space="preserve"> </w:t>
      </w:r>
      <w:r>
        <w:t xml:space="preserve">– Burla Informática por Phishing – Transferências Fraudulentas de €32 000</w:t>
      </w:r>
    </w:p>
    <w:p>
      <w:pPr>
        <w:pStyle w:val="BodyText"/>
      </w:pPr>
      <w:r>
        <w:rPr>
          <w:b/>
          <w:bCs/>
        </w:rPr>
        <w:t xml:space="preserve">Tribunal:</w:t>
      </w:r>
      <w:r>
        <w:t xml:space="preserve"> </w:t>
      </w:r>
      <w:r>
        <w:t xml:space="preserve">Tribunal Judicial de Lisboa – Secção de Instrução Criminal</w:t>
      </w:r>
    </w:p>
    <w:p>
      <w:pPr>
        <w:pStyle w:val="BodyText"/>
      </w:pPr>
      <w:r>
        <w:rPr>
          <w:b/>
          <w:bCs/>
        </w:rPr>
        <w:t xml:space="preserve">Juiz de Instrução Criminal:</w:t>
      </w:r>
      <w:r>
        <w:t xml:space="preserve"> </w:t>
      </w:r>
      <w:r>
        <w:t xml:space="preserve">Juiz de Instrução Criminal n.º 4</w:t>
      </w:r>
    </w:p>
    <w:p>
      <w:pPr>
        <w:pStyle w:val="BodyText"/>
      </w:pPr>
      <w:r>
        <w:rPr>
          <w:b/>
          <w:bCs/>
        </w:rPr>
        <w:t xml:space="preserve">Data de abertura do processo:</w:t>
      </w:r>
      <w:r>
        <w:t xml:space="preserve"> </w:t>
      </w:r>
      <w:r>
        <w:t xml:space="preserve">12 de março de 2023</w:t>
      </w:r>
    </w:p>
    <w:p>
      <w:r>
        <w:pict>
          <v:rect style="width:0;height:1.5pt" o:hralign="center" o:hrstd="t" o:hr="t"/>
        </w:pict>
      </w:r>
    </w:p>
    <w:bookmarkStart w:id="9" w:name="identificação-das-partes"/>
    <w:p>
      <w:pPr>
        <w:pStyle w:val="Heading3"/>
      </w:pPr>
      <w:r>
        <w:t xml:space="preserve">Identificação das partes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829"/>
        <w:gridCol w:w="1810"/>
        <w:gridCol w:w="2941"/>
        <w:gridCol w:w="905"/>
        <w:gridCol w:w="1433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Parte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Nome / Denominação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N.º de Identificação Fiscal (NIF)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Morada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Representação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Autor / Requerente</w:t>
            </w:r>
          </w:p>
        </w:tc>
        <w:tc>
          <w:tcPr/>
          <w:p>
            <w:pPr>
              <w:pStyle w:val="Compact"/>
            </w:pPr>
            <w:r>
              <w:t xml:space="preserve">Ministério Público – Secção de Instrução Criminal</w:t>
            </w:r>
          </w:p>
        </w:tc>
        <w:tc>
          <w:tcPr/>
          <w:p>
            <w:pPr>
              <w:pStyle w:val="Compact"/>
            </w:pPr>
            <w:r>
              <w:t xml:space="preserve">508 123 456</w:t>
            </w:r>
          </w:p>
        </w:tc>
        <w:tc>
          <w:tcPr/>
          <w:p>
            <w:pPr>
              <w:pStyle w:val="Compact"/>
            </w:pPr>
            <w:r>
              <w:t xml:space="preserve">Av. da República, 45 – 1050‑167 Lisboa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Procuradora:</w:t>
            </w:r>
            <w:r>
              <w:t xml:space="preserve"> </w:t>
            </w:r>
            <w:r>
              <w:t xml:space="preserve">Dra. Marta Santos (OA 54321)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Réu / Requerido</w:t>
            </w:r>
          </w:p>
        </w:tc>
        <w:tc>
          <w:tcPr/>
          <w:p>
            <w:pPr>
              <w:pStyle w:val="Compact"/>
            </w:pPr>
            <w:r>
              <w:t xml:space="preserve">João da Silva</w:t>
            </w:r>
          </w:p>
        </w:tc>
        <w:tc>
          <w:tcPr/>
          <w:p>
            <w:pPr>
              <w:pStyle w:val="Compact"/>
            </w:pPr>
            <w:r>
              <w:t xml:space="preserve">219 876 543</w:t>
            </w:r>
          </w:p>
        </w:tc>
        <w:tc>
          <w:tcPr/>
          <w:p>
            <w:pPr>
              <w:pStyle w:val="Compact"/>
            </w:pPr>
            <w:r>
              <w:t xml:space="preserve">Rua da Boavista, nº 12 – 1200‑067 Lisboa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Advogada de defesa:</w:t>
            </w:r>
            <w:r>
              <w:t xml:space="preserve"> </w:t>
            </w:r>
            <w:r>
              <w:t xml:space="preserve">Dra. Ana Pereira (OA 12345)</w:t>
            </w:r>
            <w:r>
              <w:t xml:space="preserve"> </w:t>
            </w:r>
            <w:r>
              <w:t xml:space="preserve"> </w:t>
            </w:r>
            <w:r>
              <w:rPr>
                <w:b/>
                <w:bCs/>
              </w:rPr>
              <w:t xml:space="preserve">Advogado de defesa:</w:t>
            </w:r>
            <w:r>
              <w:t xml:space="preserve"> </w:t>
            </w:r>
            <w:r>
              <w:t xml:space="preserve">Dr. Luís Carvalho (OA 67890)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0" w:name="resumo-factual"/>
    <w:p>
      <w:pPr>
        <w:pStyle w:val="Heading3"/>
      </w:pPr>
      <w:r>
        <w:t xml:space="preserve">Resumo factual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Período dos factos:</w:t>
      </w:r>
      <w:r>
        <w:t xml:space="preserve"> </w:t>
      </w:r>
      <w:r>
        <w:t xml:space="preserve">10 a 25 de março de 2023.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Modalidade delitiva:</w:t>
      </w:r>
      <w:r>
        <w:t xml:space="preserve"> </w:t>
      </w:r>
      <w:r>
        <w:t xml:space="preserve">Utilização de técnicas de</w:t>
      </w:r>
      <w:r>
        <w:t xml:space="preserve"> </w:t>
      </w:r>
      <w:r>
        <w:rPr>
          <w:i/>
          <w:iCs/>
        </w:rPr>
        <w:t xml:space="preserve">phishing</w:t>
      </w:r>
      <w:r>
        <w:t xml:space="preserve"> </w:t>
      </w:r>
      <w:r>
        <w:t xml:space="preserve">para obtenção indevida de credenciais de acesso a contas bancárias, seguida de instrução de transferências eletrónicas fraudulentas.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Montante total lesado:</w:t>
      </w:r>
      <w:r>
        <w:t xml:space="preserve"> </w:t>
      </w:r>
      <w:r>
        <w:rPr>
          <w:b/>
          <w:bCs/>
        </w:rPr>
        <w:t xml:space="preserve">€32 000,00</w:t>
      </w:r>
      <w:r>
        <w:t xml:space="preserve"> </w:t>
      </w:r>
      <w:r>
        <w:t xml:space="preserve">(trinta e dois mil euros).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Meios utilizados:</w:t>
      </w:r>
    </w:p>
    <w:p>
      <w:pPr>
        <w:pStyle w:val="Compact"/>
        <w:numPr>
          <w:ilvl w:val="1"/>
          <w:numId w:val="1002"/>
        </w:numPr>
      </w:pPr>
      <w:r>
        <w:t xml:space="preserve">Envio de mensagens eletrónicas aparentando ser de instituições bancárias (Banco Português de Investimento – BPI).</w:t>
      </w:r>
      <w:r>
        <w:br/>
      </w:r>
    </w:p>
    <w:p>
      <w:pPr>
        <w:pStyle w:val="Compact"/>
        <w:numPr>
          <w:ilvl w:val="1"/>
          <w:numId w:val="1002"/>
        </w:numPr>
      </w:pPr>
      <w:r>
        <w:t xml:space="preserve">Criação de páginas web falsas que replicavam a interface de login do BPI.</w:t>
      </w:r>
      <w:r>
        <w:br/>
      </w:r>
    </w:p>
    <w:p>
      <w:pPr>
        <w:pStyle w:val="Compact"/>
        <w:numPr>
          <w:ilvl w:val="1"/>
          <w:numId w:val="1002"/>
        </w:numPr>
      </w:pPr>
      <w:r>
        <w:t xml:space="preserve">Captura de credenciais e autorização de transferências para contas bancárias controladas pelo réu.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Transferências realizadas:</w:t>
      </w:r>
    </w:p>
    <w:p>
      <w:pPr>
        <w:pStyle w:val="Compact"/>
        <w:numPr>
          <w:ilvl w:val="1"/>
          <w:numId w:val="1003"/>
        </w:numPr>
      </w:pPr>
      <w:r>
        <w:t xml:space="preserve">10/03/2023 – €8 000,00 para a conta n.º PT50 1234 5678 9012 3456 7890 12 (Banco X).</w:t>
      </w:r>
      <w:r>
        <w:br/>
      </w:r>
    </w:p>
    <w:p>
      <w:pPr>
        <w:pStyle w:val="Compact"/>
        <w:numPr>
          <w:ilvl w:val="1"/>
          <w:numId w:val="1003"/>
        </w:numPr>
      </w:pPr>
      <w:r>
        <w:t xml:space="preserve">15/03/2023 – €12 000,00 para a conta n.º PT50 2345 6789 0123 4567 8901 23 (Banco Y).</w:t>
      </w:r>
      <w:r>
        <w:br/>
      </w:r>
    </w:p>
    <w:p>
      <w:pPr>
        <w:pStyle w:val="Compact"/>
        <w:numPr>
          <w:ilvl w:val="1"/>
          <w:numId w:val="1003"/>
        </w:numPr>
      </w:pPr>
      <w:r>
        <w:t xml:space="preserve">20/03/2023 – €7 000,00 para a conta n.º PT50 3456 7890 1234 5678 9012 34 (Banco Z).</w:t>
      </w:r>
      <w:r>
        <w:br/>
      </w:r>
    </w:p>
    <w:p>
      <w:pPr>
        <w:pStyle w:val="Compact"/>
        <w:numPr>
          <w:ilvl w:val="1"/>
          <w:numId w:val="1003"/>
        </w:numPr>
      </w:pPr>
      <w:r>
        <w:t xml:space="preserve">25/03/2023 – €5 000,00 para a conta n.º PT50 4567 8901 2345 6789 0123 45 (Banco W).</w:t>
      </w:r>
    </w:p>
    <w:p>
      <w:r>
        <w:pict>
          <v:rect style="width:0;height:1.5pt" o:hralign="center" o:hrstd="t" o:hr="t"/>
        </w:pict>
      </w:r>
    </w:p>
    <w:bookmarkEnd w:id="10"/>
    <w:bookmarkStart w:id="11" w:name="fundamentação-jurídica"/>
    <w:p>
      <w:pPr>
        <w:pStyle w:val="Heading3"/>
      </w:pPr>
      <w:r>
        <w:t xml:space="preserve">Fundamentação jurídica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Artigo 217.º do Código Penal</w:t>
      </w:r>
      <w:r>
        <w:t xml:space="preserve"> </w:t>
      </w:r>
      <w:r>
        <w:t xml:space="preserve">– Burla informática.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Artigo 162.º, n.º 1, alínea b) do Código de Processo Penal</w:t>
      </w:r>
      <w:r>
        <w:t xml:space="preserve"> </w:t>
      </w:r>
      <w:r>
        <w:t xml:space="preserve">– Possibilidade de produção de prova eletrónica e de perícia informática.</w:t>
      </w:r>
    </w:p>
    <w:p>
      <w:r>
        <w:pict>
          <v:rect style="width:0;height:1.5pt" o:hralign="center" o:hrstd="t" o:hr="t"/>
        </w:pict>
      </w:r>
    </w:p>
    <w:bookmarkEnd w:id="11"/>
    <w:bookmarkStart w:id="12" w:name="estado-atual-do-processo"/>
    <w:p>
      <w:pPr>
        <w:pStyle w:val="Heading3"/>
      </w:pPr>
      <w:r>
        <w:t xml:space="preserve">Estado atual do processo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630"/>
        <w:gridCol w:w="2640"/>
        <w:gridCol w:w="165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Etapa processual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Data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Instrução</w:t>
            </w:r>
          </w:p>
        </w:tc>
        <w:tc>
          <w:tcPr/>
          <w:p>
            <w:pPr>
              <w:pStyle w:val="Compact"/>
            </w:pPr>
            <w:r>
              <w:t xml:space="preserve">Produção de prova eletrónica (extratos bancários, registos de IP, logs de servidor de e‑mail).</w:t>
            </w:r>
          </w:p>
        </w:tc>
        <w:tc>
          <w:tcPr/>
          <w:p>
            <w:pPr>
              <w:pStyle w:val="Compact"/>
            </w:pPr>
            <w:r>
              <w:t xml:space="preserve">Em curso – última diligência a 5 de fevereiro de 2024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Pedidos de diligência</w:t>
            </w:r>
          </w:p>
        </w:tc>
        <w:tc>
          <w:tcPr/>
          <w:p>
            <w:pPr>
              <w:pStyle w:val="Compact"/>
            </w:pPr>
            <w:r>
              <w:t xml:space="preserve">Pedido de cooperação internacional para rastreio de contas no exterior (Banca de Portugal e Autoridade Tributária).</w:t>
            </w:r>
          </w:p>
        </w:tc>
        <w:tc>
          <w:tcPr/>
          <w:p>
            <w:pPr>
              <w:pStyle w:val="Compact"/>
            </w:pPr>
            <w:r>
              <w:t xml:space="preserve">Submetido a 20 de janeiro de 2024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Peritagem informática</w:t>
            </w:r>
          </w:p>
        </w:tc>
        <w:tc>
          <w:tcPr/>
          <w:p>
            <w:pPr>
              <w:pStyle w:val="Compact"/>
            </w:pPr>
            <w:r>
              <w:t xml:space="preserve">Nomeação de perito judicial – Eng. Carlos Mendes (Instituto de Perícias Informáticas).</w:t>
            </w:r>
          </w:p>
        </w:tc>
        <w:tc>
          <w:tcPr/>
          <w:p>
            <w:pPr>
              <w:pStyle w:val="Compact"/>
            </w:pPr>
            <w:r>
              <w:t xml:space="preserve">Laudo pericial esperado para 15 de março de 2024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Contestação da defesa</w:t>
            </w:r>
          </w:p>
        </w:tc>
        <w:tc>
          <w:tcPr/>
          <w:p>
            <w:pPr>
              <w:pStyle w:val="Compact"/>
            </w:pPr>
            <w:r>
              <w:t xml:space="preserve">Contestação apresentada pela defesa (Dra. Ana Pereira e Dr. Luís Carvalho) a 30 de janeiro de 2024, alegando inexistência de vínculo direto entre o réu e as contas beneficiárias.</w:t>
            </w:r>
          </w:p>
        </w:tc>
        <w:tc>
          <w:tcPr/>
          <w:p>
            <w:pPr>
              <w:pStyle w:val="Compact"/>
            </w:pPr>
            <w:r>
              <w:t xml:space="preserve">30/01/2024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Audiência de instrução</w:t>
            </w:r>
          </w:p>
        </w:tc>
        <w:tc>
          <w:tcPr/>
          <w:p>
            <w:pPr>
              <w:pStyle w:val="Compact"/>
            </w:pPr>
            <w:r>
              <w:t xml:space="preserve">Agendada para 10 de abril de 2024.</w:t>
            </w:r>
          </w:p>
        </w:tc>
        <w:tc>
          <w:tcPr/>
          <w:p>
            <w:pPr>
              <w:pStyle w:val="Compact"/>
            </w:pPr>
            <w:r>
              <w:t xml:space="preserve">10/04/2024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2"/>
    <w:bookmarkStart w:id="13" w:name="teses-jurídicas-a-serem-debatidas"/>
    <w:p>
      <w:pPr>
        <w:pStyle w:val="Heading3"/>
      </w:pPr>
      <w:r>
        <w:t xml:space="preserve">Teses jurídicas a serem debatidas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Responsabilidade penal do réu</w:t>
      </w:r>
      <w:r>
        <w:t xml:space="preserve"> </w:t>
      </w:r>
      <w:r>
        <w:t xml:space="preserve">– Existência de dolo direto ao autorizar as transferências mediante a utilização das credenciais capturadas.</w:t>
      </w:r>
      <w:r>
        <w:br/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Nexo causal entre a conduta delituosa e o prejuízo patrimonial</w:t>
      </w:r>
      <w:r>
        <w:t xml:space="preserve"> </w:t>
      </w:r>
      <w:r>
        <w:t xml:space="preserve">– Demonstração de que as transferências foram efetuadas exclusivamente com recurso às informações obtidas por</w:t>
      </w:r>
      <w:r>
        <w:t xml:space="preserve"> </w:t>
      </w:r>
      <w:r>
        <w:rPr>
          <w:i/>
          <w:iCs/>
        </w:rPr>
        <w:t xml:space="preserve">phishing</w:t>
      </w:r>
      <w:r>
        <w:t xml:space="preserve">.</w:t>
      </w:r>
      <w:r>
        <w:br/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Exclusão de responsabilidade por culpa concorrente</w:t>
      </w:r>
      <w:r>
        <w:t xml:space="preserve"> </w:t>
      </w:r>
      <w:r>
        <w:t xml:space="preserve">– Avaliação da alegação de que a vítima teria contribuído para o crime ao não adotar medidas de segurança adequadas.</w:t>
      </w:r>
    </w:p>
    <w:p>
      <w:r>
        <w:pict>
          <v:rect style="width:0;height:1.5pt" o:hralign="center" o:hrstd="t" o:hr="t"/>
        </w:pict>
      </w:r>
    </w:p>
    <w:bookmarkEnd w:id="13"/>
    <w:bookmarkStart w:id="14" w:name="anexos-incluídos-no-dossiê"/>
    <w:p>
      <w:pPr>
        <w:pStyle w:val="Heading3"/>
      </w:pPr>
      <w:r>
        <w:t xml:space="preserve">Anexos incluídos no dossiê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Cópia integral do processo</w:t>
      </w:r>
      <w:r>
        <w:t xml:space="preserve"> </w:t>
      </w:r>
      <w:r>
        <w:t xml:space="preserve">(páginas 1 a 112).</w:t>
      </w:r>
      <w:r>
        <w:br/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Extratos bancários</w:t>
      </w:r>
      <w:r>
        <w:t xml:space="preserve"> </w:t>
      </w:r>
      <w:r>
        <w:t xml:space="preserve">relativos às transferências fraudulentas (anexo A).</w:t>
      </w:r>
      <w:r>
        <w:br/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Registos de e‑mail e capturas de ecrã da página de phishing</w:t>
      </w:r>
      <w:r>
        <w:t xml:space="preserve"> </w:t>
      </w:r>
      <w:r>
        <w:t xml:space="preserve">(anexo B).</w:t>
      </w:r>
      <w:r>
        <w:br/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Laudo pericial preliminar</w:t>
      </w:r>
      <w:r>
        <w:t xml:space="preserve"> </w:t>
      </w:r>
      <w:r>
        <w:t xml:space="preserve">(anexo C).</w:t>
      </w:r>
      <w:r>
        <w:br/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Petição de contestação da defesa</w:t>
      </w:r>
      <w:r>
        <w:t xml:space="preserve"> </w:t>
      </w:r>
      <w:r>
        <w:t xml:space="preserve">(anexo D).</w:t>
      </w:r>
      <w:r>
        <w:br/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Despacho de produção de prova eletrónica</w:t>
      </w:r>
      <w:r>
        <w:t xml:space="preserve"> </w:t>
      </w:r>
      <w:r>
        <w:t xml:space="preserve">(anexo E).</w:t>
      </w:r>
    </w:p>
    <w:p>
      <w:r>
        <w:pict>
          <v:rect style="width:0;height:1.5pt" o:hralign="center" o:hrstd="t" o:hr="t"/>
        </w:pict>
      </w:r>
    </w:p>
    <w:bookmarkEnd w:id="14"/>
    <w:bookmarkStart w:id="15" w:name="observações-finais"/>
    <w:p>
      <w:pPr>
        <w:pStyle w:val="Heading3"/>
      </w:pPr>
      <w:r>
        <w:t xml:space="preserve">Observações finais</w:t>
      </w:r>
    </w:p>
    <w:p>
      <w:pPr>
        <w:pStyle w:val="FirstParagraph"/>
      </w:pPr>
      <w:r>
        <w:t xml:space="preserve">Este dossiê destina‑se ao arquivo interno da Secção de Instrução Criminal do Tribunal Judicial de Lisboa, devendo ser mantido sob sigilo de acordo com o disposto no</w:t>
      </w:r>
      <w:r>
        <w:t xml:space="preserve"> </w:t>
      </w:r>
      <w:r>
        <w:rPr>
          <w:b/>
          <w:bCs/>
        </w:rPr>
        <w:t xml:space="preserve">artigo 33.º do Código de Processo Penal</w:t>
      </w:r>
      <w:r>
        <w:t xml:space="preserve"> </w:t>
      </w:r>
      <w:r>
        <w:t xml:space="preserve">e nas normas de proteção de dados pessoais (RGPD – Regulamento (UE) 2016/679). Qualquer consulta externa deverá ser previamente autorizada pelo Juiz de Instrução Criminal n.º 4.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Lisboa, 22 de fevereiro de 2026</w:t>
      </w:r>
    </w:p>
    <w:p>
      <w:pPr>
        <w:pStyle w:val="BodyText"/>
      </w:pPr>
      <w:r>
        <w:rPr>
          <w:b/>
          <w:bCs/>
        </w:rPr>
        <w:t xml:space="preserve">Dra. Marta Santos</w:t>
      </w:r>
      <w:r>
        <w:br/>
      </w:r>
      <w:r>
        <w:t xml:space="preserve">Procuradora do Ministério Público – Secção de Instrução Criminal</w:t>
      </w:r>
      <w:r>
        <w:br/>
      </w:r>
      <w:r>
        <w:t xml:space="preserve">OA 54321</w:t>
      </w:r>
    </w:p>
    <w:p>
      <w:r>
        <w:pict>
          <v:rect style="width:0;height:1.5pt" o:hralign="center" o:hrstd="t" o:hr="t"/>
        </w:pict>
      </w:r>
    </w:p>
    <w:bookmarkEnd w:id="15"/>
    <w:bookmarkEnd w:id="1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2026-02-22T19:01:58Z</dcterms:created>
  <dcterms:modified xsi:type="dcterms:W3CDTF">2026-02-22T19:01:58Z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